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4B28" w14:textId="780EDC75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4E4AD395" w:rsidR="002976A6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wyższe lub średnie;</w:t>
      </w:r>
    </w:p>
    <w:p w14:paraId="0BC669BA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B5607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2F4FF6C1" w14:textId="56F2D384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7D1A92">
        <w:rPr>
          <w:rFonts w:ascii="Times New Roman" w:hAnsi="Times New Roman" w:cs="Times New Roman"/>
          <w:sz w:val="24"/>
          <w:szCs w:val="24"/>
        </w:rPr>
        <w:t>3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D1A92">
        <w:rPr>
          <w:rFonts w:ascii="Times New Roman" w:hAnsi="Times New Roman" w:cs="Times New Roman"/>
          <w:sz w:val="24"/>
          <w:szCs w:val="24"/>
        </w:rPr>
        <w:t>775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A0409" w14:textId="53370450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</w:t>
      </w:r>
      <w:r w:rsidR="007D1A92">
        <w:rPr>
          <w:rFonts w:ascii="Times New Roman" w:hAnsi="Times New Roman" w:cs="Times New Roman"/>
          <w:sz w:val="24"/>
          <w:szCs w:val="24"/>
        </w:rPr>
        <w:t xml:space="preserve">3 </w:t>
      </w:r>
      <w:r w:rsidR="00A04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7D1A92">
        <w:rPr>
          <w:rFonts w:ascii="Times New Roman" w:hAnsi="Times New Roman" w:cs="Times New Roman"/>
          <w:sz w:val="24"/>
          <w:szCs w:val="24"/>
        </w:rPr>
        <w:t>682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399067" w14:textId="629AF453"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7D1A92">
        <w:rPr>
          <w:rFonts w:ascii="Times New Roman" w:hAnsi="Times New Roman" w:cs="Times New Roman"/>
          <w:sz w:val="24"/>
          <w:szCs w:val="24"/>
        </w:rPr>
        <w:t>22</w:t>
      </w:r>
      <w:r w:rsidR="008B569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1A92">
        <w:rPr>
          <w:rFonts w:ascii="Times New Roman" w:hAnsi="Times New Roman" w:cs="Times New Roman"/>
          <w:sz w:val="24"/>
          <w:szCs w:val="24"/>
        </w:rPr>
        <w:t>1225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77777777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architektoniczne, konstrukcyjno-budowlane, instalacje sanitarne, instalacje elektryczne, drogownictwo; </w:t>
      </w:r>
    </w:p>
    <w:p w14:paraId="280518FD" w14:textId="2F4A291F" w:rsidR="00C61E0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 średnie:</w:t>
      </w:r>
      <w:r>
        <w:rPr>
          <w:rFonts w:ascii="Times New Roman" w:hAnsi="Times New Roman" w:cs="Times New Roman"/>
          <w:sz w:val="24"/>
          <w:szCs w:val="24"/>
        </w:rPr>
        <w:t xml:space="preserve"> kierunkowe;</w:t>
      </w:r>
    </w:p>
    <w:p w14:paraId="27A56354" w14:textId="425036DE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staż co najmniej 1 rok w administracji;</w:t>
      </w:r>
    </w:p>
    <w:p w14:paraId="603FD989" w14:textId="4B1848FA" w:rsidR="00202CE4" w:rsidRPr="00202CE4" w:rsidRDefault="00202CE4" w:rsidP="00202C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znajomość programu „Decyzja”, obsługa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BIPu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69C71B5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00ED3011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wniosków o pozwolenie na budowę lub rozbiórkę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wymaganych do niego załączników.</w:t>
      </w:r>
    </w:p>
    <w:p w14:paraId="2659B4C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prawdzanie załączonego do wniosku projektu budowla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wraz z innymi załącznikami.</w:t>
      </w:r>
    </w:p>
    <w:p w14:paraId="5A77E28C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rzygotowywanie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443AEE1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arejestrowanie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23CBABD7" w14:textId="77777777" w:rsidR="00E43F77" w:rsidRPr="00C61E04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i przyjmowanie zgłoszeń na roboty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wymagające pozwolenia na budowę.</w:t>
      </w:r>
    </w:p>
    <w:p w14:paraId="578C0A48" w14:textId="77777777" w:rsidR="00E43F77" w:rsidRDefault="00E43F77" w:rsidP="00E4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327348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pozwoleń na budowę;</w:t>
      </w:r>
    </w:p>
    <w:p w14:paraId="0BAA354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miesięcznych sprawozdań na potrzeby Wojewody Mazowieckiego;</w:t>
      </w:r>
    </w:p>
    <w:p w14:paraId="1BCB97B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postanowień w sprawie przepisów techniczno – budowlanych;</w:t>
      </w:r>
    </w:p>
    <w:p w14:paraId="6C8787DD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budowę;</w:t>
      </w:r>
    </w:p>
    <w:p w14:paraId="267421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rozbiórkę;</w:t>
      </w:r>
    </w:p>
    <w:p w14:paraId="502F205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Zatwierdzenie projektów budowlanych;</w:t>
      </w:r>
    </w:p>
    <w:p w14:paraId="3AF812A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usunięcia nieprawidłowości w projekcie;</w:t>
      </w:r>
    </w:p>
    <w:p w14:paraId="59F160B8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Przenoszenie decyzji</w:t>
      </w: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pozwoleniu na budowę na rzecz innej osoby;</w:t>
      </w:r>
    </w:p>
    <w:p w14:paraId="1C1865F0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zmiany sposobu użytkowania obiektów budowlanych;</w:t>
      </w:r>
    </w:p>
    <w:p w14:paraId="6F0B5B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postanowień o uzgodnieniu decyzji o ustaleniu lokalizacji celu  publicznego oraz planów zagospodarowania przestrzennego w zakresie zadań rządowych i samorządowych realizowanych przez Powiat;</w:t>
      </w:r>
    </w:p>
    <w:p w14:paraId="21C85A6F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14:paraId="1E420781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Wnoszenie sprzeciwu w odniesieniu do dokonanego zgłoszenia;</w:t>
      </w:r>
    </w:p>
    <w:p w14:paraId="662695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uzyskania pozwolenia na budowę;</w:t>
      </w:r>
    </w:p>
    <w:p w14:paraId="71485E4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14:paraId="005549CC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odpowiedzi dotyczącej informacji publicznej;</w:t>
      </w:r>
    </w:p>
    <w:p w14:paraId="62FCCA95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zgłoszeń budowy na Biuletyn Informacji Publicznej. </w:t>
      </w:r>
    </w:p>
    <w:p w14:paraId="16F4AE2B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zaświadczeń o samodzielności lokali mieszkalnych;</w:t>
      </w:r>
    </w:p>
    <w:p w14:paraId="43CA6909" w14:textId="77777777" w:rsidR="00E43F77" w:rsidRPr="00460E2B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Inne czynności zlecone przez przełożonego.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20828AA2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F61F3F">
        <w:rPr>
          <w:rFonts w:ascii="Times New Roman" w:hAnsi="Times New Roman" w:cs="Times New Roman"/>
          <w:b/>
          <w:sz w:val="24"/>
          <w:szCs w:val="24"/>
        </w:rPr>
        <w:t>2</w:t>
      </w:r>
      <w:r w:rsidR="009A269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61F3F">
        <w:rPr>
          <w:rFonts w:ascii="Times New Roman" w:hAnsi="Times New Roman" w:cs="Times New Roman"/>
          <w:b/>
          <w:sz w:val="24"/>
          <w:szCs w:val="24"/>
        </w:rPr>
        <w:t xml:space="preserve">stycznia </w:t>
      </w:r>
      <w:r w:rsidR="007D1A92">
        <w:rPr>
          <w:rFonts w:ascii="Times New Roman" w:hAnsi="Times New Roman" w:cs="Times New Roman"/>
          <w:b/>
          <w:sz w:val="24"/>
          <w:szCs w:val="24"/>
        </w:rPr>
        <w:t>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001D8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177960" w:rsidRPr="0017796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77777777"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14:paraId="03822862" w14:textId="4F2B4EEB" w:rsid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Starosta</w:t>
      </w:r>
    </w:p>
    <w:p w14:paraId="53FD06A5" w14:textId="77777777" w:rsidR="009B0D77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p w14:paraId="6FBBCA67" w14:textId="6B3364D4" w:rsidR="009B0D77" w:rsidRP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Krzysztof Ambroziak</w:t>
      </w:r>
    </w:p>
    <w:sectPr w:rsidR="009B0D77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4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7"/>
  </w:num>
  <w:num w:numId="8" w16cid:durableId="430855578">
    <w:abstractNumId w:val="9"/>
  </w:num>
  <w:num w:numId="9" w16cid:durableId="1286816345">
    <w:abstractNumId w:val="28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1"/>
  </w:num>
  <w:num w:numId="16" w16cid:durableId="1255937383">
    <w:abstractNumId w:val="30"/>
  </w:num>
  <w:num w:numId="17" w16cid:durableId="2009140226">
    <w:abstractNumId w:val="22"/>
  </w:num>
  <w:num w:numId="18" w16cid:durableId="1636524330">
    <w:abstractNumId w:val="25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1"/>
  </w:num>
  <w:num w:numId="22" w16cid:durableId="1262756601">
    <w:abstractNumId w:val="23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6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29"/>
  </w:num>
  <w:num w:numId="34" w16cid:durableId="643241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7960"/>
    <w:rsid w:val="001C09A0"/>
    <w:rsid w:val="001E6606"/>
    <w:rsid w:val="00202CE4"/>
    <w:rsid w:val="00280C2C"/>
    <w:rsid w:val="002976A6"/>
    <w:rsid w:val="002D613B"/>
    <w:rsid w:val="00330506"/>
    <w:rsid w:val="0035553E"/>
    <w:rsid w:val="00364934"/>
    <w:rsid w:val="003A28FC"/>
    <w:rsid w:val="003E5617"/>
    <w:rsid w:val="00414E0B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7173C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178"/>
    <w:rsid w:val="0097223B"/>
    <w:rsid w:val="009A2693"/>
    <w:rsid w:val="009B0D77"/>
    <w:rsid w:val="009B2F40"/>
    <w:rsid w:val="009B7C11"/>
    <w:rsid w:val="009C4C55"/>
    <w:rsid w:val="00A02129"/>
    <w:rsid w:val="00A04EA2"/>
    <w:rsid w:val="00A20B79"/>
    <w:rsid w:val="00A428CB"/>
    <w:rsid w:val="00A77103"/>
    <w:rsid w:val="00A87423"/>
    <w:rsid w:val="00AA02F7"/>
    <w:rsid w:val="00AD7885"/>
    <w:rsid w:val="00AF2ABB"/>
    <w:rsid w:val="00B61240"/>
    <w:rsid w:val="00B75B16"/>
    <w:rsid w:val="00BB7C6C"/>
    <w:rsid w:val="00BD696E"/>
    <w:rsid w:val="00C150C3"/>
    <w:rsid w:val="00C17F33"/>
    <w:rsid w:val="00C61E04"/>
    <w:rsid w:val="00CB5444"/>
    <w:rsid w:val="00D0030F"/>
    <w:rsid w:val="00D206B0"/>
    <w:rsid w:val="00D233A9"/>
    <w:rsid w:val="00D3498C"/>
    <w:rsid w:val="00D564C1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61F3F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2024-01-10T08:38:00Z</cp:lastPrinted>
  <dcterms:created xsi:type="dcterms:W3CDTF">2024-01-12T12:40:00Z</dcterms:created>
  <dcterms:modified xsi:type="dcterms:W3CDTF">2024-01-12T12:40:00Z</dcterms:modified>
</cp:coreProperties>
</file>